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jc w:val="center"/>
      </w:pPr>
      <w:r>
        <w:rPr>
          <w:rFonts w:ascii="Arial" w:hAnsi="Arial" w:eastAsia="Arial"/>
          <w:b/>
          <w:color w:val="0B5C3B"/>
          <w:sz w:val="48"/>
        </w:rPr>
        <w:t>TradeQuote Pro Power User Course</w:t>
      </w:r>
    </w:p>
    <w:p>
      <w:pPr>
        <w:spacing w:after="280"/>
        <w:jc w:val="center"/>
      </w:pPr>
      <w:r>
        <w:rPr>
          <w:rFonts w:ascii="Arial" w:hAnsi="Arial" w:eastAsia="Arial"/>
          <w:color w:val="4B5563"/>
          <w:sz w:val="25"/>
        </w:rPr>
        <w:t>Learner Course Outline</w:t>
      </w:r>
    </w:p>
    <w:tbl>
      <w:tblPr>
        <w:tblW w:type="auto" w:w="0"/>
        <w:jc w:val="center"/>
        <w:tblLook w:firstColumn="1" w:firstRow="1" w:lastColumn="0" w:lastRow="0" w:noHBand="0" w:noVBand="1" w:val="04A0"/>
        <w:tblLayout w:type="fixed"/>
      </w:tblPr>
      <w:tblGrid>
        <w:gridCol w:w="10080"/>
      </w:tblGrid>
      <w:tr>
        <w:tc>
          <w:tcPr>
            <w:tcW w:type="dxa" w:w="10080"/>
            <w:shd w:fill="EAF4EF"/>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color w:val="1F2937"/>
                <w:sz w:val="21"/>
              </w:rPr>
              <w:t>This course is delivered as a website/download based training resource. It is not built into the TradeQuote Pro app.</w:t>
            </w:r>
          </w:p>
        </w:tc>
      </w:tr>
    </w:tbl>
    <w:p>
      <w:pPr>
        <w:spacing w:after="40"/>
      </w:pPr>
    </w:p>
    <w:p>
      <w:pPr>
        <w:pStyle w:val="Heading1"/>
      </w:pPr>
      <w:r>
        <w:t>Course aim</w:t>
      </w:r>
    </w:p>
    <w:p>
      <w:r>
        <w:t>To help tradespeople, apprentices, students and small contractors learn a practical construction estimating workflow using TradeQuote Pro. The course covers quote requests, customer and project setup, drawing takeoffs, calculators, quote preparation, sustainability notes, milestones, invoices, payments, risk assessments and method statements.</w:t>
      </w:r>
    </w:p>
    <w:p>
      <w:pPr>
        <w:pStyle w:val="Heading1"/>
      </w:pPr>
      <w:r>
        <w:t>Who the course is for</w:t>
      </w:r>
    </w:p>
    <w:p>
      <w:pPr>
        <w:pStyle w:val="ListBullet"/>
      </w:pPr>
      <w:r>
        <w:t>Small builders and contractors who want to improve quoting and job documentation.</w:t>
      </w:r>
    </w:p>
    <w:p>
      <w:pPr>
        <w:pStyle w:val="ListBullet"/>
      </w:pPr>
      <w:r>
        <w:t>Apprentices and construction students developing estimating and digital construction skills.</w:t>
      </w:r>
    </w:p>
    <w:p>
      <w:pPr>
        <w:pStyle w:val="ListBullet"/>
      </w:pPr>
      <w:r>
        <w:t>TradeQuote Pro users who want to understand the complete workflow rather than only individual app screens.</w:t>
      </w:r>
    </w:p>
    <w:p>
      <w:pPr>
        <w:pStyle w:val="ListBullet"/>
      </w:pPr>
      <w:r>
        <w:t>Learners who want CPD-style evidence of software training and practical estimating practice.</w:t>
      </w:r>
    </w:p>
    <w:tbl>
      <w:tblPr>
        <w:tblW w:type="auto" w:w="0"/>
        <w:jc w:val="center"/>
        <w:tblLook w:firstColumn="1" w:firstRow="1" w:lastColumn="0" w:lastRow="0" w:noHBand="0" w:noVBand="1" w:val="04A0"/>
        <w:tblLayout w:type="fixed"/>
      </w:tblPr>
      <w:tblGrid>
        <w:gridCol w:w="10080"/>
      </w:tblGrid>
      <w:tr>
        <w:tc>
          <w:tcPr>
            <w:tcW w:type="dxa" w:w="10080"/>
            <w:shd w:fill="FFF8E5"/>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Important certificate wording</w:t>
              <w:br/>
            </w:r>
            <w:r>
              <w:rPr>
                <w:rFonts w:ascii="Arial" w:hAnsi="Arial" w:eastAsia="Arial"/>
                <w:color w:val="1F2937"/>
                <w:sz w:val="21"/>
              </w:rPr>
              <w:t>This course supports CPD evidence and practical software training. It is not an accredited construction qualification, formal estimating qualification, health and safety qualification or proof of professional competency.</w:t>
            </w:r>
          </w:p>
        </w:tc>
      </w:tr>
    </w:tbl>
    <w:p>
      <w:pPr>
        <w:spacing w:after="40"/>
      </w:pPr>
    </w:p>
    <w:p>
      <w:pPr>
        <w:pStyle w:val="Heading1"/>
      </w:pPr>
      <w:r>
        <w:t>What learners will complete</w:t>
      </w:r>
    </w:p>
    <w:p>
      <w:pPr>
        <w:pStyle w:val="ListBullet"/>
      </w:pPr>
      <w:r>
        <w:t>A practice quote request and customer/project setup activity.</w:t>
      </w:r>
    </w:p>
    <w:p>
      <w:pPr>
        <w:pStyle w:val="ListBullet"/>
      </w:pPr>
      <w:r>
        <w:t>Drawing takeoff exercises using supplied example drawings.</w:t>
      </w:r>
    </w:p>
    <w:p>
      <w:pPr>
        <w:pStyle w:val="ListBullet"/>
      </w:pPr>
      <w:r>
        <w:t>Calculator and material quantity exercises.</w:t>
      </w:r>
    </w:p>
    <w:p>
      <w:pPr>
        <w:pStyle w:val="ListBullet"/>
      </w:pPr>
      <w:r>
        <w:t>A practice quote, milestone plan, sustainability notes, risk assessment and method statement.</w:t>
      </w:r>
    </w:p>
    <w:p>
      <w:pPr>
        <w:pStyle w:val="ListBullet"/>
      </w:pPr>
      <w:r>
        <w:t>An invoice or staged payment example.</w:t>
      </w:r>
    </w:p>
    <w:p>
      <w:pPr>
        <w:pStyle w:val="ListBullet"/>
      </w:pPr>
      <w:r>
        <w:t>A completion checklist and CPD reflection.</w:t>
      </w:r>
    </w:p>
    <w:p>
      <w:pPr>
        <w:pStyle w:val="Heading1"/>
      </w:pPr>
      <w:r>
        <w:t>Module overview</w:t>
      </w:r>
    </w:p>
    <w:tbl>
      <w:tblPr>
        <w:tblW w:type="auto" w:w="0"/>
        <w:jc w:val="center"/>
        <w:tblLook w:firstColumn="1" w:firstRow="1" w:lastColumn="0" w:lastRow="0" w:noHBand="0" w:noVBand="1" w:val="04A0"/>
        <w:tblLayout w:type="fixed"/>
      </w:tblPr>
      <w:tblGrid>
        <w:gridCol w:w="3360"/>
        <w:gridCol w:w="3360"/>
        <w:gridCol w:w="3360"/>
      </w:tblGrid>
      <w:tr>
        <w:trPr>
          <w:tblHeader w:val="true"/>
        </w:trPr>
        <w:tc>
          <w:tcPr>
            <w:tcW w:type="dxa" w:w="1008"/>
            <w:shd w:fill="0B5C3B"/>
            <w:tcBorders>
              <w:top w:val="single" w:sz="8" w:space="0" w:color="0B5C3B"/>
              <w:left w:val="single" w:sz="8" w:space="0" w:color="0B5C3B"/>
              <w:bottom w:val="single" w:sz="8" w:space="0" w:color="0B5C3B"/>
              <w:right w:val="single" w:sz="8" w:space="0" w:color="0B5C3B"/>
            </w:tcBorders>
            <w:tcMar>
              <w:top w:w="120" w:type="dxa"/>
              <w:start w:w="110" w:type="dxa"/>
              <w:bottom w:w="120" w:type="dxa"/>
              <w:end w:w="110" w:type="dxa"/>
            </w:tcMar>
          </w:tcPr>
          <w:p>
            <w:pPr>
              <w:spacing w:after="0"/>
            </w:pPr>
            <w:r>
              <w:rPr>
                <w:rFonts w:ascii="Arial" w:hAnsi="Arial" w:eastAsia="Arial"/>
                <w:b/>
                <w:color w:val="FFFFFF"/>
                <w:sz w:val="18"/>
              </w:rPr>
              <w:t>Module</w:t>
            </w:r>
          </w:p>
        </w:tc>
        <w:tc>
          <w:tcPr>
            <w:tcW w:type="dxa" w:w="3888"/>
            <w:shd w:fill="0B5C3B"/>
            <w:tcBorders>
              <w:top w:val="single" w:sz="8" w:space="0" w:color="0B5C3B"/>
              <w:left w:val="single" w:sz="8" w:space="0" w:color="0B5C3B"/>
              <w:bottom w:val="single" w:sz="8" w:space="0" w:color="0B5C3B"/>
              <w:right w:val="single" w:sz="8" w:space="0" w:color="0B5C3B"/>
            </w:tcBorders>
            <w:tcMar>
              <w:top w:w="120" w:type="dxa"/>
              <w:start w:w="110" w:type="dxa"/>
              <w:bottom w:w="120" w:type="dxa"/>
              <w:end w:w="110" w:type="dxa"/>
            </w:tcMar>
          </w:tcPr>
          <w:p>
            <w:pPr>
              <w:spacing w:after="0"/>
            </w:pPr>
            <w:r>
              <w:rPr>
                <w:rFonts w:ascii="Arial" w:hAnsi="Arial" w:eastAsia="Arial"/>
                <w:b/>
                <w:color w:val="FFFFFF"/>
                <w:sz w:val="18"/>
              </w:rPr>
              <w:t>Title</w:t>
            </w:r>
          </w:p>
        </w:tc>
        <w:tc>
          <w:tcPr>
            <w:tcW w:type="dxa" w:w="5472"/>
            <w:shd w:fill="0B5C3B"/>
            <w:tcBorders>
              <w:top w:val="single" w:sz="8" w:space="0" w:color="0B5C3B"/>
              <w:left w:val="single" w:sz="8" w:space="0" w:color="0B5C3B"/>
              <w:bottom w:val="single" w:sz="8" w:space="0" w:color="0B5C3B"/>
              <w:right w:val="single" w:sz="8" w:space="0" w:color="0B5C3B"/>
            </w:tcBorders>
            <w:tcMar>
              <w:top w:w="120" w:type="dxa"/>
              <w:start w:w="110" w:type="dxa"/>
              <w:bottom w:w="120" w:type="dxa"/>
              <w:end w:w="110" w:type="dxa"/>
            </w:tcMar>
          </w:tcPr>
          <w:p>
            <w:pPr>
              <w:spacing w:after="0"/>
            </w:pPr>
            <w:r>
              <w:rPr>
                <w:rFonts w:ascii="Arial" w:hAnsi="Arial" w:eastAsia="Arial"/>
                <w:b/>
                <w:color w:val="FFFFFF"/>
                <w:sz w:val="18"/>
              </w:rPr>
              <w:t>Main learning focus</w:t>
            </w:r>
          </w:p>
        </w:tc>
      </w:tr>
      <w:tr>
        <w:tc>
          <w:tcPr>
            <w:tcW w:type="dxa" w:w="100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1</w:t>
            </w:r>
          </w:p>
        </w:tc>
        <w:tc>
          <w:tcPr>
            <w:tcW w:type="dxa" w:w="388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Introduction to TradeQuote Pro and construction estimating</w:t>
            </w:r>
          </w:p>
        </w:tc>
        <w:tc>
          <w:tcPr>
            <w:tcW w:type="dxa" w:w="5472"/>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Understand the full workflow from enquiry to quote, milestones, invoice and payment.</w:t>
            </w:r>
          </w:p>
        </w:tc>
      </w:tr>
      <w:tr>
        <w:tc>
          <w:tcPr>
            <w:tcW w:type="dxa" w:w="100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2</w:t>
            </w:r>
          </w:p>
        </w:tc>
        <w:tc>
          <w:tcPr>
            <w:tcW w:type="dxa" w:w="388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Company setup and professional settings</w:t>
            </w:r>
          </w:p>
        </w:tc>
        <w:tc>
          <w:tcPr>
            <w:tcW w:type="dxa" w:w="5472"/>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Set up the business details, tax settings, terms and document information.</w:t>
            </w:r>
          </w:p>
        </w:tc>
      </w:tr>
      <w:tr>
        <w:tc>
          <w:tcPr>
            <w:tcW w:type="dxa" w:w="100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3</w:t>
            </w:r>
          </w:p>
        </w:tc>
        <w:tc>
          <w:tcPr>
            <w:tcW w:type="dxa" w:w="388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Quote requests, customers and project setup</w:t>
            </w:r>
          </w:p>
        </w:tc>
        <w:tc>
          <w:tcPr>
            <w:tcW w:type="dxa" w:w="5472"/>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Turn an incoming quote request into a customer record and project.</w:t>
            </w:r>
          </w:p>
        </w:tc>
      </w:tr>
      <w:tr>
        <w:tc>
          <w:tcPr>
            <w:tcW w:type="dxa" w:w="100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4</w:t>
            </w:r>
          </w:p>
        </w:tc>
        <w:tc>
          <w:tcPr>
            <w:tcW w:type="dxa" w:w="388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Drawing takeoffs from example drawings</w:t>
            </w:r>
          </w:p>
        </w:tc>
        <w:tc>
          <w:tcPr>
            <w:tcW w:type="dxa" w:w="5472"/>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Measure lengths, areas and counts from the supplied training drawings.</w:t>
            </w:r>
          </w:p>
        </w:tc>
      </w:tr>
      <w:tr>
        <w:tc>
          <w:tcPr>
            <w:tcW w:type="dxa" w:w="100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5</w:t>
            </w:r>
          </w:p>
        </w:tc>
        <w:tc>
          <w:tcPr>
            <w:tcW w:type="dxa" w:w="388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Calculators and material quantities</w:t>
            </w:r>
          </w:p>
        </w:tc>
        <w:tc>
          <w:tcPr>
            <w:tcW w:type="dxa" w:w="5472"/>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Use measured values to calculate materials and quantities.</w:t>
            </w:r>
          </w:p>
        </w:tc>
      </w:tr>
      <w:tr>
        <w:tc>
          <w:tcPr>
            <w:tcW w:type="dxa" w:w="100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6</w:t>
            </w:r>
          </w:p>
        </w:tc>
        <w:tc>
          <w:tcPr>
            <w:tcW w:type="dxa" w:w="388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Building a quote from the quote request</w:t>
            </w:r>
          </w:p>
        </w:tc>
        <w:tc>
          <w:tcPr>
            <w:tcW w:type="dxa" w:w="5472"/>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Create tasks, costs and a professional customer quote.</w:t>
            </w:r>
          </w:p>
        </w:tc>
      </w:tr>
      <w:tr>
        <w:tc>
          <w:tcPr>
            <w:tcW w:type="dxa" w:w="100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7</w:t>
            </w:r>
          </w:p>
        </w:tc>
        <w:tc>
          <w:tcPr>
            <w:tcW w:type="dxa" w:w="388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Milestones, staged work and payment planning</w:t>
            </w:r>
          </w:p>
        </w:tc>
        <w:tc>
          <w:tcPr>
            <w:tcW w:type="dxa" w:w="5472"/>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Break the work into stages and link them to payment planning.</w:t>
            </w:r>
          </w:p>
        </w:tc>
      </w:tr>
      <w:tr>
        <w:tc>
          <w:tcPr>
            <w:tcW w:type="dxa" w:w="100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8</w:t>
            </w:r>
          </w:p>
        </w:tc>
        <w:tc>
          <w:tcPr>
            <w:tcW w:type="dxa" w:w="388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Sustainability, risk assessments and method statements</w:t>
            </w:r>
          </w:p>
        </w:tc>
        <w:tc>
          <w:tcPr>
            <w:tcW w:type="dxa" w:w="5472"/>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Create sustainability notes and supporting health and safety documents for the project.</w:t>
            </w:r>
          </w:p>
        </w:tc>
      </w:tr>
      <w:tr>
        <w:tc>
          <w:tcPr>
            <w:tcW w:type="dxa" w:w="100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9</w:t>
            </w:r>
          </w:p>
        </w:tc>
        <w:tc>
          <w:tcPr>
            <w:tcW w:type="dxa" w:w="388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Completed quotes, invoices, payments and job completion</w:t>
            </w:r>
          </w:p>
        </w:tc>
        <w:tc>
          <w:tcPr>
            <w:tcW w:type="dxa" w:w="5472"/>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Understand completed quote records, invoices, stage payments and payments.</w:t>
            </w:r>
          </w:p>
        </w:tc>
      </w:tr>
      <w:tr>
        <w:tc>
          <w:tcPr>
            <w:tcW w:type="dxa" w:w="100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10</w:t>
            </w:r>
          </w:p>
        </w:tc>
        <w:tc>
          <w:tcPr>
            <w:tcW w:type="dxa" w:w="3888"/>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Final practical exercise: complete job workflow</w:t>
            </w:r>
          </w:p>
        </w:tc>
        <w:tc>
          <w:tcPr>
            <w:tcW w:type="dxa" w:w="5472"/>
            <w:shd w:fill="F5F7F6"/>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Complete the full course scenario from quote request to final documents.</w:t>
            </w:r>
          </w:p>
        </w:tc>
      </w:tr>
      <w:tr>
        <w:tc>
          <w:tcPr>
            <w:tcW w:type="dxa" w:w="100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11</w:t>
            </w:r>
          </w:p>
        </w:tc>
        <w:tc>
          <w:tcPr>
            <w:tcW w:type="dxa" w:w="3888"/>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Completion checklist, reflection and certificate</w:t>
            </w:r>
          </w:p>
        </w:tc>
        <w:tc>
          <w:tcPr>
            <w:tcW w:type="dxa" w:w="5472"/>
            <w:shd w:fill="FFFFFF"/>
            <w:tcBorders>
              <w:top w:val="single" w:sz="6" w:space="0" w:color="D0D7DE"/>
              <w:left w:val="single" w:sz="6" w:space="0" w:color="D0D7DE"/>
              <w:bottom w:val="single" w:sz="6" w:space="0" w:color="D0D7DE"/>
              <w:right w:val="single" w:sz="6" w:space="0" w:color="D0D7DE"/>
            </w:tcBorders>
            <w:tcMar>
              <w:top w:w="140" w:type="dxa"/>
              <w:start w:w="110" w:type="dxa"/>
              <w:bottom w:w="140" w:type="dxa"/>
              <w:end w:w="110" w:type="dxa"/>
            </w:tcMar>
          </w:tcPr>
          <w:p>
            <w:pPr>
              <w:spacing w:after="0" w:line="264" w:lineRule="auto"/>
            </w:pPr>
            <w:r>
              <w:rPr>
                <w:rFonts w:ascii="Arial" w:hAnsi="Arial" w:eastAsia="Arial"/>
                <w:color w:val="1F2937"/>
                <w:sz w:val="17"/>
              </w:rPr>
              <w:t>Confirm completion and prepare CPD-style reflection evidence.</w:t>
            </w:r>
          </w:p>
        </w:tc>
      </w:tr>
    </w:tbl>
    <w:p>
      <w:pPr>
        <w:spacing w:after="100"/>
      </w:pPr>
    </w:p>
    <w:p>
      <w:r>
        <w:br w:type="page"/>
      </w:r>
    </w:p>
    <w:p>
      <w:pPr>
        <w:pStyle w:val="Heading1"/>
      </w:pPr>
      <w:r>
        <w:t>Detailed module structure and learning outcomes</w:t>
      </w:r>
    </w:p>
    <w:p>
      <w:r>
        <w:t>Each module has a clear purpose, a small number of learning outcomes, a practical learner activity and an output. This spacing is designed to make the course easier to follow and easier to use as a CPD resource.</w:t>
      </w:r>
    </w:p>
    <w:p>
      <w:pPr>
        <w:pStyle w:val="Heading1"/>
      </w:pPr>
      <w:r>
        <w:t>Module 1: Introduction to TradeQuote Pro and construction estimating</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explains the purpose of the course and shows how estimating, quote requests, quotations, milestones and project documentation fit together in a real construction workflow.</w:t>
            </w:r>
          </w:p>
        </w:tc>
      </w:tr>
    </w:tbl>
    <w:p>
      <w:pPr>
        <w:spacing w:after="40"/>
      </w:pPr>
    </w:p>
    <w:p>
      <w:pPr>
        <w:pStyle w:val="Heading2"/>
      </w:pPr>
      <w:r>
        <w:t>By the end of this module, the learner should be able to:</w:t>
      </w:r>
    </w:p>
    <w:p>
      <w:pPr>
        <w:pStyle w:val="ListBullet"/>
      </w:pPr>
      <w:r>
        <w:t>Explain the difference between an enquiry, a quote request, an estimate, a quotation and an invoice.</w:t>
      </w:r>
    </w:p>
    <w:p>
      <w:pPr>
        <w:pStyle w:val="ListBullet"/>
      </w:pPr>
      <w:r>
        <w:t>Describe why accurate measurement, labour allowances, material pricing, waste, markup and staged payment planning matter.</w:t>
      </w:r>
    </w:p>
    <w:p>
      <w:pPr>
        <w:pStyle w:val="ListBullet"/>
      </w:pPr>
      <w:r>
        <w:t>Identify the main TradeQuote Pro workflow from quote request through to milestones, quote, invoice and payment.</w:t>
      </w:r>
    </w:p>
    <w:p>
      <w:pPr>
        <w:pStyle w:val="Heading2"/>
      </w:pPr>
      <w:r>
        <w:t>Learner activities</w:t>
      </w:r>
    </w:p>
    <w:p>
      <w:pPr>
        <w:pStyle w:val="ListBullet"/>
      </w:pPr>
      <w:r>
        <w:t>Read the course introduction and safe certificate wording.</w:t>
      </w:r>
    </w:p>
    <w:p>
      <w:pPr>
        <w:pStyle w:val="ListBullet"/>
      </w:pPr>
      <w:r>
        <w:t>Review the example quote request and project scenario used throughout the course.</w:t>
      </w:r>
    </w:p>
    <w:p>
      <w:pPr>
        <w:pStyle w:val="ListBullet"/>
      </w:pPr>
      <w:r>
        <w:t>Make notes on current estimating confidence and areas for improvement.</w:t>
      </w:r>
    </w:p>
    <w:p>
      <w:pPr>
        <w:pStyle w:val="Heading2"/>
      </w:pPr>
      <w:r>
        <w:t>Course output</w:t>
      </w:r>
    </w:p>
    <w:p>
      <w:pPr>
        <w:spacing w:after="280"/>
      </w:pPr>
      <w:r>
        <w:t>Short learner notes or CPD reflection on current estimating confidence, quote request handling and development aims.</w:t>
      </w:r>
    </w:p>
    <w:p>
      <w:pPr>
        <w:pStyle w:val="Heading1"/>
      </w:pPr>
      <w:r>
        <w:t>Module 2: Company setup and professional settings</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shows how a professional quoting system starts with correct business details, tax settings, terms, payment details and document settings.</w:t>
            </w:r>
          </w:p>
        </w:tc>
      </w:tr>
    </w:tbl>
    <w:p>
      <w:pPr>
        <w:spacing w:after="40"/>
      </w:pPr>
    </w:p>
    <w:p>
      <w:pPr>
        <w:pStyle w:val="Heading2"/>
      </w:pPr>
      <w:r>
        <w:t>By the end of this module, the learner should be able to:</w:t>
      </w:r>
    </w:p>
    <w:p>
      <w:pPr>
        <w:pStyle w:val="ListBullet"/>
      </w:pPr>
      <w:r>
        <w:t>Set up company details, logo, contact information and bank/payment details.</w:t>
      </w:r>
    </w:p>
    <w:p>
      <w:pPr>
        <w:pStyle w:val="ListBullet"/>
      </w:pPr>
      <w:r>
        <w:t>Select the correct currency, units, VAT/tax approach and quote validity settings.</w:t>
      </w:r>
    </w:p>
    <w:p>
      <w:pPr>
        <w:pStyle w:val="ListBullet"/>
      </w:pPr>
      <w:r>
        <w:t>Explain how good setup improves quote requests, quotes, invoices and customer documents.</w:t>
      </w:r>
    </w:p>
    <w:p>
      <w:pPr>
        <w:pStyle w:val="Heading2"/>
      </w:pPr>
      <w:r>
        <w:t>Learner activities</w:t>
      </w:r>
    </w:p>
    <w:p>
      <w:pPr>
        <w:pStyle w:val="ListBullet"/>
      </w:pPr>
      <w:r>
        <w:t>Complete a company setup checklist.</w:t>
      </w:r>
    </w:p>
    <w:p>
      <w:pPr>
        <w:pStyle w:val="ListBullet"/>
      </w:pPr>
      <w:r>
        <w:t>Review example terms, payment wording and professional document settings.</w:t>
      </w:r>
    </w:p>
    <w:p>
      <w:pPr>
        <w:pStyle w:val="ListBullet"/>
      </w:pPr>
      <w:r>
        <w:t>Check backup and iCloud Sync guidance without changing app data unnecessarily.</w:t>
      </w:r>
    </w:p>
    <w:p>
      <w:pPr>
        <w:pStyle w:val="Heading2"/>
      </w:pPr>
      <w:r>
        <w:t>Course output</w:t>
      </w:r>
    </w:p>
    <w:p>
      <w:pPr>
        <w:spacing w:after="280"/>
      </w:pPr>
      <w:r>
        <w:t>Completed company setup checklist and screenshot/note confirming key settings have been reviewed.</w:t>
      </w:r>
    </w:p>
    <w:p>
      <w:pPr>
        <w:pStyle w:val="Heading1"/>
      </w:pPr>
      <w:r>
        <w:t>Module 3: Quote requests, customers and project setup</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teaches learners how to handle an incoming quote request, create the correct customer record and set up the project before pricing work.</w:t>
            </w:r>
          </w:p>
        </w:tc>
      </w:tr>
    </w:tbl>
    <w:p>
      <w:pPr>
        <w:spacing w:after="40"/>
      </w:pPr>
    </w:p>
    <w:p>
      <w:pPr>
        <w:pStyle w:val="Heading2"/>
      </w:pPr>
      <w:r>
        <w:t>By the end of this module, the learner should be able to:</w:t>
      </w:r>
    </w:p>
    <w:p>
      <w:pPr>
        <w:pStyle w:val="ListBullet"/>
      </w:pPr>
      <w:r>
        <w:t>Record or review a quote request with clear customer and job information.</w:t>
      </w:r>
    </w:p>
    <w:p>
      <w:pPr>
        <w:pStyle w:val="ListBullet"/>
      </w:pPr>
      <w:r>
        <w:t>Create a customer record with relevant contact and address information.</w:t>
      </w:r>
    </w:p>
    <w:p>
      <w:pPr>
        <w:pStyle w:val="ListBullet"/>
      </w:pPr>
      <w:r>
        <w:t>Create a project/job linked to the correct customer and quote request.</w:t>
      </w:r>
    </w:p>
    <w:p>
      <w:pPr>
        <w:pStyle w:val="ListBullet"/>
      </w:pPr>
      <w:r>
        <w:t>Use project status, project notes, site records and variations to keep job information organised.</w:t>
      </w:r>
    </w:p>
    <w:p>
      <w:pPr>
        <w:pStyle w:val="Heading2"/>
      </w:pPr>
      <w:r>
        <w:t>Learner activities</w:t>
      </w:r>
    </w:p>
    <w:p>
      <w:pPr>
        <w:pStyle w:val="ListBullet"/>
      </w:pPr>
      <w:r>
        <w:t>Enter or review the practice quote request supplied in the course scenario.</w:t>
      </w:r>
    </w:p>
    <w:p>
      <w:pPr>
        <w:pStyle w:val="ListBullet"/>
      </w:pPr>
      <w:r>
        <w:t>Create a practice customer from the quote request details.</w:t>
      </w:r>
    </w:p>
    <w:p>
      <w:pPr>
        <w:pStyle w:val="ListBullet"/>
      </w:pPr>
      <w:r>
        <w:t>Create a project/job with a clear title, address and job brief.</w:t>
      </w:r>
    </w:p>
    <w:p>
      <w:pPr>
        <w:pStyle w:val="ListBullet"/>
      </w:pPr>
      <w:r>
        <w:t>Identify what drawings, documents and follow-up information are needed before pricing.</w:t>
      </w:r>
    </w:p>
    <w:p>
      <w:pPr>
        <w:pStyle w:val="Heading2"/>
      </w:pPr>
      <w:r>
        <w:t>Course output</w:t>
      </w:r>
    </w:p>
    <w:p>
      <w:pPr>
        <w:spacing w:after="280"/>
      </w:pPr>
      <w:r>
        <w:t>Practice quote request, customer and project created from the course scenario, with a short job brief and information checklist.</w:t>
      </w:r>
    </w:p>
    <w:p>
      <w:pPr>
        <w:pStyle w:val="Heading1"/>
      </w:pPr>
      <w:r>
        <w:t>Module 4: Drawing takeoffs from example drawings</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uses supplied drawings to practise digital measurement and show how takeoff information feeds the estimate.</w:t>
            </w:r>
          </w:p>
        </w:tc>
      </w:tr>
    </w:tbl>
    <w:p>
      <w:pPr>
        <w:spacing w:after="40"/>
      </w:pPr>
    </w:p>
    <w:p>
      <w:pPr>
        <w:pStyle w:val="Heading2"/>
      </w:pPr>
      <w:r>
        <w:t>By the end of this module, the learner should be able to:</w:t>
      </w:r>
    </w:p>
    <w:p>
      <w:pPr>
        <w:pStyle w:val="ListBullet"/>
      </w:pPr>
      <w:r>
        <w:t>Import or view example drawings and understand why calibration matters.</w:t>
      </w:r>
    </w:p>
    <w:p>
      <w:pPr>
        <w:pStyle w:val="ListBullet"/>
      </w:pPr>
      <w:r>
        <w:t>Measure lengths, areas and counts from a drawing.</w:t>
      </w:r>
    </w:p>
    <w:p>
      <w:pPr>
        <w:pStyle w:val="ListBullet"/>
      </w:pPr>
      <w:r>
        <w:t>Use the Takeoff Notepad to store named measurements before using them in project pricing.</w:t>
      </w:r>
    </w:p>
    <w:p>
      <w:pPr>
        <w:pStyle w:val="ListBullet"/>
      </w:pPr>
      <w:r>
        <w:t>Recognise that drawing measurements must be checked before pricing.</w:t>
      </w:r>
    </w:p>
    <w:p>
      <w:pPr>
        <w:pStyle w:val="Heading2"/>
      </w:pPr>
      <w:r>
        <w:t>Learner activities</w:t>
      </w:r>
    </w:p>
    <w:p>
      <w:pPr>
        <w:pStyle w:val="ListBullet"/>
      </w:pPr>
      <w:r>
        <w:t>Complete a wall area measurement exercise.</w:t>
      </w:r>
    </w:p>
    <w:p>
      <w:pPr>
        <w:pStyle w:val="ListBullet"/>
      </w:pPr>
      <w:r>
        <w:t>Complete a foundation length/volume exercise.</w:t>
      </w:r>
    </w:p>
    <w:p>
      <w:pPr>
        <w:pStyle w:val="ListBullet"/>
      </w:pPr>
      <w:r>
        <w:t>Complete a roof or floor area exercise using the supplied drawings.</w:t>
      </w:r>
    </w:p>
    <w:p>
      <w:pPr>
        <w:pStyle w:val="ListBullet"/>
      </w:pPr>
      <w:r>
        <w:t>Record measured items using clear names and relate them back to the quote request.</w:t>
      </w:r>
    </w:p>
    <w:p>
      <w:pPr>
        <w:pStyle w:val="Heading2"/>
      </w:pPr>
      <w:r>
        <w:t>Course output</w:t>
      </w:r>
    </w:p>
    <w:p>
      <w:pPr>
        <w:spacing w:after="280"/>
      </w:pPr>
      <w:r>
        <w:t>Completed takeoff worksheet showing named measurements, units and any assumptions.</w:t>
      </w:r>
    </w:p>
    <w:p>
      <w:pPr>
        <w:pStyle w:val="Heading1"/>
      </w:pPr>
      <w:r>
        <w:t>Module 5: Calculators and material quantities</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shows how calculators support quantity checks and help learners turn measurements into useful construction quantities.</w:t>
            </w:r>
          </w:p>
        </w:tc>
      </w:tr>
    </w:tbl>
    <w:p>
      <w:pPr>
        <w:spacing w:after="40"/>
      </w:pPr>
    </w:p>
    <w:p>
      <w:pPr>
        <w:pStyle w:val="Heading2"/>
      </w:pPr>
      <w:r>
        <w:t>By the end of this module, the learner should be able to:</w:t>
      </w:r>
    </w:p>
    <w:p>
      <w:pPr>
        <w:pStyle w:val="ListBullet"/>
      </w:pPr>
      <w:r>
        <w:t>Use relevant calculators such as brick/block, roof, foundation, concrete, stud wall and fascia where appropriate.</w:t>
      </w:r>
    </w:p>
    <w:p>
      <w:pPr>
        <w:pStyle w:val="ListBullet"/>
      </w:pPr>
      <w:r>
        <w:t>Explain how measurement values, waste allowances and material units affect calculated quantities.</w:t>
      </w:r>
    </w:p>
    <w:p>
      <w:pPr>
        <w:pStyle w:val="ListBullet"/>
      </w:pPr>
      <w:r>
        <w:t>Transfer useful calculated quantities into the project workflow.</w:t>
      </w:r>
    </w:p>
    <w:p>
      <w:pPr>
        <w:pStyle w:val="Heading2"/>
      </w:pPr>
      <w:r>
        <w:t>Learner activities</w:t>
      </w:r>
    </w:p>
    <w:p>
      <w:pPr>
        <w:pStyle w:val="ListBullet"/>
      </w:pPr>
      <w:r>
        <w:t>Use measured values from Module 4 in at least two calculators.</w:t>
      </w:r>
    </w:p>
    <w:p>
      <w:pPr>
        <w:pStyle w:val="ListBullet"/>
      </w:pPr>
      <w:r>
        <w:t>Record calculator outputs and compare them against the answer/check sheet.</w:t>
      </w:r>
    </w:p>
    <w:p>
      <w:pPr>
        <w:pStyle w:val="ListBullet"/>
      </w:pPr>
      <w:r>
        <w:t>Note where prices vary depending on supplier, region and job conditions.</w:t>
      </w:r>
    </w:p>
    <w:p>
      <w:pPr>
        <w:pStyle w:val="Heading2"/>
      </w:pPr>
      <w:r>
        <w:t>Course output</w:t>
      </w:r>
    </w:p>
    <w:p>
      <w:pPr>
        <w:spacing w:after="280"/>
      </w:pPr>
      <w:r>
        <w:t>Calculator worksheet showing inputs, outputs, assumptions and checks.</w:t>
      </w:r>
    </w:p>
    <w:p>
      <w:pPr>
        <w:pStyle w:val="Heading1"/>
      </w:pPr>
      <w:r>
        <w:t>Module 6: Building a quote from the quote request</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t>This module brings together the quote request, measured work, tasks, materials, labour, travel, sustainability notes, markup and VAT/tax to create a professional quote.</w:t>
            </w:r>
            <w:r>
              <w:rPr>
                <w:rFonts w:ascii="Arial" w:hAnsi="Arial" w:eastAsia="Arial"/>
                <w:color w:val="1F2937"/>
                <w:sz w:val="21"/>
              </w:rPr>
            </w:r>
          </w:p>
        </w:tc>
      </w:tr>
    </w:tbl>
    <w:p>
      <w:pPr>
        <w:spacing w:after="40"/>
      </w:pPr>
    </w:p>
    <w:p>
      <w:pPr>
        <w:pStyle w:val="Heading2"/>
      </w:pPr>
      <w:r>
        <w:t>By the end of this module, the learner should be able to:</w:t>
      </w:r>
    </w:p>
    <w:p>
      <w:pPr>
        <w:pStyle w:val="ListBullet"/>
      </w:pPr>
      <w:r>
        <w:t>Turn the quote request and takeoff information into clear project tasks.</w:t>
      </w:r>
    </w:p>
    <w:p>
      <w:pPr>
        <w:pStyle w:val="ListBullet"/>
      </w:pPr>
      <w:r>
        <w:t>Create project tasks with clear descriptions, materials, labour, travel, sustainability notes and general notes.</w:t>
      </w:r>
    </w:p>
    <w:p>
      <w:pPr>
        <w:pStyle w:val="ListBullet"/>
      </w:pPr>
      <w:r>
        <w:t>Apply markup and VAT/tax settings appropriately.</w:t>
      </w:r>
    </w:p>
    <w:p>
      <w:pPr>
        <w:pStyle w:val="ListBullet"/>
      </w:pPr>
      <w:r>
        <w:t>Preview a professional quote and check that it answers the original quote request.</w:t>
      </w:r>
    </w:p>
    <w:p>
      <w:pPr>
        <w:pStyle w:val="Heading2"/>
      </w:pPr>
      <w:r>
        <w:t>Learner activities</w:t>
      </w:r>
    </w:p>
    <w:p>
      <w:pPr>
        <w:pStyle w:val="ListBullet"/>
      </w:pPr>
      <w:r>
        <w:t>Create a task for each main part of the practice job.</w:t>
      </w:r>
    </w:p>
    <w:p>
      <w:pPr>
        <w:pStyle w:val="ListBullet"/>
      </w:pPr>
      <w:r>
        <w:t>Add labour and material allowances using realistic example figures.</w:t>
      </w:r>
    </w:p>
    <w:p>
      <w:pPr>
        <w:pStyle w:val="ListBullet"/>
      </w:pPr>
      <w:r>
        <w:t>Check the quote against the original quote request and drawing information.</w:t>
      </w:r>
    </w:p>
    <w:p>
      <w:pPr>
        <w:pStyle w:val="ListBullet"/>
      </w:pPr>
      <w:r>
        <w:t>Preview the quote and check wording, totals and customer-facing details.</w:t>
      </w:r>
    </w:p>
    <w:p>
      <w:pPr>
        <w:pStyle w:val="Heading2"/>
      </w:pPr>
      <w:r>
        <w:t>Course output</w:t>
      </w:r>
    </w:p>
    <w:p>
      <w:pPr>
        <w:spacing w:after="280"/>
      </w:pPr>
      <w:r>
        <w:t>Practice quote preview or PDF produced from the course scenario, clearly linked back to the quote request.</w:t>
      </w:r>
    </w:p>
    <w:p>
      <w:pPr>
        <w:pStyle w:val="Heading1"/>
      </w:pPr>
      <w:r>
        <w:t>Module 7: Milestones, staged work and payment planning</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shows how milestones help break a project into clear stages, support customer communication and prepare for staged invoices or payment tracking.</w:t>
            </w:r>
          </w:p>
        </w:tc>
      </w:tr>
    </w:tbl>
    <w:p>
      <w:pPr>
        <w:spacing w:after="40"/>
      </w:pPr>
    </w:p>
    <w:p>
      <w:pPr>
        <w:pStyle w:val="Heading2"/>
      </w:pPr>
      <w:r>
        <w:t>By the end of this module, the learner should be able to:</w:t>
      </w:r>
    </w:p>
    <w:p>
      <w:pPr>
        <w:pStyle w:val="ListBullet"/>
      </w:pPr>
      <w:r>
        <w:t>Explain what milestones are and why they are useful on construction jobs.</w:t>
      </w:r>
    </w:p>
    <w:p>
      <w:pPr>
        <w:pStyle w:val="ListBullet"/>
      </w:pPr>
      <w:r>
        <w:t>Create a simple milestone plan for the practice project.</w:t>
      </w:r>
    </w:p>
    <w:p>
      <w:pPr>
        <w:pStyle w:val="ListBullet"/>
      </w:pPr>
      <w:r>
        <w:t>Link milestones to staged work, stage payment thinking or invoice planning where appropriate.</w:t>
      </w:r>
    </w:p>
    <w:p>
      <w:pPr>
        <w:pStyle w:val="ListBullet"/>
      </w:pPr>
      <w:r>
        <w:t>Recognise that milestone wording should be clear, realistic and understandable to the customer.</w:t>
      </w:r>
    </w:p>
    <w:p>
      <w:pPr>
        <w:pStyle w:val="Heading2"/>
      </w:pPr>
      <w:r>
        <w:t>Learner activities</w:t>
      </w:r>
    </w:p>
    <w:p>
      <w:pPr>
        <w:pStyle w:val="ListBullet"/>
      </w:pPr>
      <w:r>
        <w:t>Break the practice project into clear stages such as setup, foundations, walling, roof/work area and completion.</w:t>
      </w:r>
    </w:p>
    <w:p>
      <w:pPr>
        <w:pStyle w:val="ListBullet"/>
      </w:pPr>
      <w:r>
        <w:t>Create milestone descriptions using plain customer-friendly wording.</w:t>
      </w:r>
    </w:p>
    <w:p>
      <w:pPr>
        <w:pStyle w:val="ListBullet"/>
      </w:pPr>
      <w:r>
        <w:t>Decide whether any milestone should connect to a stage payment or invoice point.</w:t>
      </w:r>
    </w:p>
    <w:p>
      <w:pPr>
        <w:pStyle w:val="ListBullet"/>
      </w:pPr>
      <w:r>
        <w:t>Review the milestone plan for clarity and realism.</w:t>
      </w:r>
    </w:p>
    <w:p>
      <w:pPr>
        <w:pStyle w:val="Heading2"/>
      </w:pPr>
      <w:r>
        <w:t>Course output</w:t>
      </w:r>
    </w:p>
    <w:p>
      <w:pPr>
        <w:spacing w:after="280"/>
      </w:pPr>
      <w:r>
        <w:t>Milestone plan for the practice project, including stage descriptions and any example stage payment/invoice points.</w:t>
      </w:r>
    </w:p>
    <w:p>
      <w:pPr>
        <w:pStyle w:val="Heading1"/>
      </w:pPr>
      <w:r>
        <w:t>Module 8: Sustainability, risk assessments and method statements</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shows how project information can support professional health and safety documentation.</w:t>
            </w:r>
          </w:p>
        </w:tc>
      </w:tr>
    </w:tbl>
    <w:p>
      <w:pPr>
        <w:spacing w:after="40"/>
      </w:pPr>
    </w:p>
    <w:p>
      <w:pPr>
        <w:pStyle w:val="Heading2"/>
      </w:pPr>
      <w:r>
        <w:t>By the end of this module, the learner should be able to:</w:t>
      </w:r>
    </w:p>
    <w:p>
      <w:pPr>
        <w:pStyle w:val="ListBullet"/>
      </w:pPr>
      <w:r>
        <w:t>Identify common hazards and control measures linked to the practice project.</w:t>
      </w:r>
    </w:p>
    <w:p>
      <w:pPr>
        <w:pStyle w:val="ListBullet"/>
      </w:pPr>
      <w:r>
        <w:t>Create a risk assessment using the project information.</w:t>
      </w:r>
    </w:p>
    <w:p>
      <w:pPr>
        <w:pStyle w:val="ListBullet"/>
      </w:pPr>
      <w:r>
        <w:t>Create a method statement that matches the task sequence, milestones and working method.</w:t>
      </w:r>
    </w:p>
    <w:p>
      <w:pPr>
        <w:pStyle w:val="ListBullet"/>
      </w:pPr>
      <w:r>
        <w:t>Understand that generated documents must still be reviewed by a competent person.</w:t>
      </w:r>
    </w:p>
    <w:p>
      <w:pPr>
        <w:pStyle w:val="Heading2"/>
      </w:pPr>
      <w:r>
        <w:t>Learner activities</w:t>
      </w:r>
    </w:p>
    <w:p>
      <w:pPr>
        <w:pStyle w:val="ListBullet"/>
      </w:pPr>
      <w:r>
        <w:t>Select hazards and controls for the example job.</w:t>
      </w:r>
    </w:p>
    <w:p>
      <w:pPr>
        <w:pStyle w:val="ListBullet"/>
      </w:pPr>
      <w:r>
        <w:t>Produce a practice risk assessment.</w:t>
      </w:r>
    </w:p>
    <w:p>
      <w:pPr>
        <w:pStyle w:val="ListBullet"/>
      </w:pPr>
      <w:r>
        <w:t>Produce a practice method statement and check that it matches the work described and the milestone sequence.</w:t>
      </w:r>
    </w:p>
    <w:p>
      <w:pPr>
        <w:pStyle w:val="Heading2"/>
      </w:pPr>
      <w:r>
        <w:t>Course output</w:t>
      </w:r>
    </w:p>
    <w:p>
      <w:pPr>
        <w:spacing w:after="280"/>
      </w:pPr>
      <w:r>
        <w:t>Practice sustainability notes, risk assessment and method statement created for the scenario.</w:t>
      </w:r>
    </w:p>
    <w:p>
      <w:pPr>
        <w:pStyle w:val="Heading1"/>
      </w:pPr>
      <w:r>
        <w:t>Module 9: Completed quotes, invoices, payments and job completion</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explains how completed quotes, invoices, stage payments, milestones and payment tracking support the business side of a job.</w:t>
            </w:r>
          </w:p>
        </w:tc>
      </w:tr>
    </w:tbl>
    <w:p>
      <w:pPr>
        <w:spacing w:after="40"/>
      </w:pPr>
    </w:p>
    <w:p>
      <w:pPr>
        <w:pStyle w:val="Heading2"/>
      </w:pPr>
      <w:r>
        <w:t>By the end of this module, the learner should be able to:</w:t>
      </w:r>
    </w:p>
    <w:p>
      <w:pPr>
        <w:pStyle w:val="ListBullet"/>
      </w:pPr>
      <w:r>
        <w:t>Explain the difference between a quote, an accepted job, an invoice, a stage invoice and a payment record.</w:t>
      </w:r>
    </w:p>
    <w:p>
      <w:pPr>
        <w:pStyle w:val="ListBullet"/>
      </w:pPr>
      <w:r>
        <w:t>Create or review invoice stages where relevant to the milestone plan.</w:t>
      </w:r>
    </w:p>
    <w:p>
      <w:pPr>
        <w:pStyle w:val="ListBullet"/>
      </w:pPr>
      <w:r>
        <w:t>Record payment progress and understand why accurate records matter.</w:t>
      </w:r>
    </w:p>
    <w:p>
      <w:pPr>
        <w:pStyle w:val="ListBullet"/>
      </w:pPr>
      <w:r>
        <w:t>Review completed quote information so the job record is clear.</w:t>
      </w:r>
    </w:p>
    <w:p>
      <w:pPr>
        <w:pStyle w:val="Heading2"/>
      </w:pPr>
      <w:r>
        <w:t>Learner activities</w:t>
      </w:r>
    </w:p>
    <w:p>
      <w:pPr>
        <w:pStyle w:val="ListBullet"/>
      </w:pPr>
      <w:r>
        <w:t>Review the completed quote workflow.</w:t>
      </w:r>
    </w:p>
    <w:p>
      <w:pPr>
        <w:pStyle w:val="ListBullet"/>
      </w:pPr>
      <w:r>
        <w:t>Create an example invoice or staged invoice plan linked to the milestones.</w:t>
      </w:r>
    </w:p>
    <w:p>
      <w:pPr>
        <w:pStyle w:val="ListBullet"/>
      </w:pPr>
      <w:r>
        <w:t>Record a sample payment and review job completion notes.</w:t>
      </w:r>
    </w:p>
    <w:p>
      <w:pPr>
        <w:pStyle w:val="ListBullet"/>
      </w:pPr>
      <w:r>
        <w:t>Check that the completed quote and payment information is understandable.</w:t>
      </w:r>
    </w:p>
    <w:p>
      <w:pPr>
        <w:pStyle w:val="Heading2"/>
      </w:pPr>
      <w:r>
        <w:t>Course output</w:t>
      </w:r>
    </w:p>
    <w:p>
      <w:pPr>
        <w:spacing w:after="280"/>
      </w:pPr>
      <w:r>
        <w:t>Example completed quote, invoice/stage payment record, payment note and short completion note.</w:t>
      </w:r>
    </w:p>
    <w:p>
      <w:pPr>
        <w:pStyle w:val="Heading1"/>
      </w:pPr>
      <w:r>
        <w:t>Module 10: Final practical exercise: complete job workflow</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brings the whole course together through one realistic exercise from quote request and drawings to final documents.</w:t>
            </w:r>
          </w:p>
        </w:tc>
      </w:tr>
    </w:tbl>
    <w:p>
      <w:pPr>
        <w:spacing w:after="40"/>
      </w:pPr>
    </w:p>
    <w:p>
      <w:pPr>
        <w:pStyle w:val="Heading2"/>
      </w:pPr>
      <w:r>
        <w:t>By the end of this module, the learner should be able to:</w:t>
      </w:r>
    </w:p>
    <w:p>
      <w:pPr>
        <w:pStyle w:val="ListBullet"/>
      </w:pPr>
      <w:r>
        <w:t>Complete a full estimating workflow using a supplied quote request, drawings and project information.</w:t>
      </w:r>
    </w:p>
    <w:p>
      <w:pPr>
        <w:pStyle w:val="ListBullet"/>
      </w:pPr>
      <w:r>
        <w:t>Produce a quote, milestone plan, risk assessment, method statement and invoice/payment plan.</w:t>
      </w:r>
    </w:p>
    <w:p>
      <w:pPr>
        <w:pStyle w:val="ListBullet"/>
      </w:pPr>
      <w:r>
        <w:t>Review the final output for accuracy, professionalism and customer clarity.</w:t>
      </w:r>
    </w:p>
    <w:p>
      <w:pPr>
        <w:pStyle w:val="Heading2"/>
      </w:pPr>
      <w:r>
        <w:t>Learner activities</w:t>
      </w:r>
    </w:p>
    <w:p>
      <w:pPr>
        <w:pStyle w:val="ListBullet"/>
      </w:pPr>
      <w:r>
        <w:t>Start from the supplied quote request.</w:t>
      </w:r>
    </w:p>
    <w:p>
      <w:pPr>
        <w:pStyle w:val="ListBullet"/>
      </w:pPr>
      <w:r>
        <w:t>Create the customer and project.</w:t>
      </w:r>
    </w:p>
    <w:p>
      <w:pPr>
        <w:pStyle w:val="ListBullet"/>
      </w:pPr>
      <w:r>
        <w:t>Measure from the supplied drawing pack.</w:t>
      </w:r>
    </w:p>
    <w:p>
      <w:pPr>
        <w:pStyle w:val="ListBullet"/>
      </w:pPr>
      <w:r>
        <w:t>Use calculators where appropriate.</w:t>
      </w:r>
    </w:p>
    <w:p>
      <w:pPr>
        <w:pStyle w:val="ListBullet"/>
      </w:pPr>
      <w:r>
        <w:t>Build tasks and produce the quote.</w:t>
      </w:r>
    </w:p>
    <w:p>
      <w:pPr>
        <w:pStyle w:val="ListBullet"/>
      </w:pPr>
      <w:r>
        <w:t>Create a milestone plan and staged payment example.</w:t>
      </w:r>
    </w:p>
    <w:p>
      <w:pPr>
        <w:pStyle w:val="ListBullet"/>
      </w:pPr>
      <w:r>
        <w:t>Create supporting health and safety documents.</w:t>
      </w:r>
    </w:p>
    <w:p>
      <w:pPr>
        <w:pStyle w:val="ListBullet"/>
      </w:pPr>
      <w:r>
        <w:t>Create an invoice or stage payment example.</w:t>
      </w:r>
    </w:p>
    <w:p>
      <w:pPr>
        <w:pStyle w:val="Heading2"/>
      </w:pPr>
      <w:r>
        <w:t>Course output</w:t>
      </w:r>
    </w:p>
    <w:p>
      <w:pPr>
        <w:spacing w:after="280"/>
      </w:pPr>
      <w:r>
        <w:t>Final course project pack: quote request notes, takeoff notes, task breakdown, milestone plan, quote, risk assessment, method statement and invoice/payment example.</w:t>
      </w:r>
    </w:p>
    <w:p>
      <w:pPr>
        <w:pStyle w:val="Heading1"/>
      </w:pPr>
      <w:r>
        <w:t>Module 11: Completion checklist, reflection and certificate</w:t>
      </w:r>
    </w:p>
    <w:tbl>
      <w:tblPr>
        <w:tblW w:type="auto" w:w="0"/>
        <w:jc w:val="center"/>
        <w:tblLook w:firstColumn="1" w:firstRow="1" w:lastColumn="0" w:lastRow="0" w:noHBand="0" w:noVBand="1" w:val="04A0"/>
        <w:tblLayout w:type="fixed"/>
      </w:tblPr>
      <w:tblGrid>
        <w:gridCol w:w="10080"/>
      </w:tblGrid>
      <w:tr>
        <w:tc>
          <w:tcPr>
            <w:tcW w:type="dxa" w:w="10080"/>
            <w:shd w:fill="F4FAF7"/>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b/>
                <w:color w:val="0B5C3B"/>
                <w:sz w:val="21"/>
              </w:rPr>
              <w:t>Purpose</w:t>
              <w:br/>
            </w:r>
            <w:r>
              <w:rPr>
                <w:rFonts w:ascii="Arial" w:hAnsi="Arial" w:eastAsia="Arial"/>
                <w:color w:val="1F2937"/>
                <w:sz w:val="21"/>
              </w:rPr>
              <w:t>This module confirms completion of the course and captures CPD-style reflection without claiming formal accreditation.</w:t>
            </w:r>
          </w:p>
        </w:tc>
      </w:tr>
    </w:tbl>
    <w:p>
      <w:pPr>
        <w:spacing w:after="40"/>
      </w:pPr>
    </w:p>
    <w:p>
      <w:pPr>
        <w:pStyle w:val="Heading2"/>
      </w:pPr>
      <w:r>
        <w:t>By the end of this module, the learner should be able to:</w:t>
      </w:r>
    </w:p>
    <w:p>
      <w:pPr>
        <w:pStyle w:val="ListBullet"/>
      </w:pPr>
      <w:r>
        <w:t>Check that all required course tasks have been completed.</w:t>
      </w:r>
    </w:p>
    <w:p>
      <w:pPr>
        <w:pStyle w:val="ListBullet"/>
      </w:pPr>
      <w:r>
        <w:t>Reflect on what has been learned and how it could be used in construction practice.</w:t>
      </w:r>
    </w:p>
    <w:p>
      <w:pPr>
        <w:pStyle w:val="ListBullet"/>
      </w:pPr>
      <w:r>
        <w:t>Understand the purpose and limits of the Certificate of Completion.</w:t>
      </w:r>
    </w:p>
    <w:p>
      <w:pPr>
        <w:pStyle w:val="Heading2"/>
      </w:pPr>
      <w:r>
        <w:t>Learner activities</w:t>
      </w:r>
    </w:p>
    <w:p>
      <w:pPr>
        <w:pStyle w:val="ListBullet"/>
      </w:pPr>
      <w:r>
        <w:t>Complete the learner completion checklist.</w:t>
      </w:r>
    </w:p>
    <w:p>
      <w:pPr>
        <w:pStyle w:val="ListBullet"/>
      </w:pPr>
      <w:r>
        <w:t>Write a short CPD reflection.</w:t>
      </w:r>
    </w:p>
    <w:p>
      <w:pPr>
        <w:pStyle w:val="ListBullet"/>
      </w:pPr>
      <w:r>
        <w:t>Complete or request the TradeQuote Pro Power User Certificate of Completion.</w:t>
      </w:r>
    </w:p>
    <w:p>
      <w:pPr>
        <w:pStyle w:val="Heading2"/>
      </w:pPr>
      <w:r>
        <w:t>Course output</w:t>
      </w:r>
    </w:p>
    <w:p>
      <w:pPr>
        <w:spacing w:after="280"/>
      </w:pPr>
      <w:r>
        <w:t>Signed/dated completion checklist, CPD reflection and certificate of completion.</w:t>
      </w:r>
    </w:p>
    <w:p>
      <w:pPr>
        <w:pStyle w:val="Heading1"/>
      </w:pPr>
      <w:r>
        <w:t>Completion requirements</w:t>
      </w:r>
    </w:p>
    <w:p>
      <w:pPr>
        <w:pStyle w:val="ListNumber"/>
      </w:pPr>
      <w:r>
        <w:t>Complete all 11 modules in order.</w:t>
      </w:r>
    </w:p>
    <w:p>
      <w:pPr>
        <w:pStyle w:val="ListNumber"/>
      </w:pPr>
      <w:r>
        <w:t>Complete the practice quote request and project setup activity.</w:t>
      </w:r>
    </w:p>
    <w:p>
      <w:pPr>
        <w:pStyle w:val="ListNumber"/>
      </w:pPr>
      <w:r>
        <w:t>Complete the drawing takeoff exercises using the supplied drawings.</w:t>
      </w:r>
    </w:p>
    <w:p>
      <w:pPr>
        <w:pStyle w:val="ListNumber"/>
      </w:pPr>
      <w:r>
        <w:t>Produce a practice quote, milestone plan, risk assessment, method statement and invoice/payment example.</w:t>
      </w:r>
    </w:p>
    <w:p>
      <w:pPr>
        <w:pStyle w:val="ListNumber"/>
      </w:pPr>
      <w:r>
        <w:t>Complete the final practical exercise using the full workflow.</w:t>
      </w:r>
    </w:p>
    <w:p>
      <w:pPr>
        <w:pStyle w:val="ListNumber"/>
      </w:pPr>
      <w:r>
        <w:t>Complete a short CPD reflection and sign/date the learner completion checklist.</w:t>
      </w:r>
    </w:p>
    <w:p>
      <w:pPr>
        <w:pStyle w:val="Heading1"/>
      </w:pPr>
      <w:r>
        <w:t>Certificate safety wording</w:t>
      </w:r>
    </w:p>
    <w:tbl>
      <w:tblPr>
        <w:tblW w:type="auto" w:w="0"/>
        <w:jc w:val="center"/>
        <w:tblLook w:firstColumn="1" w:firstRow="1" w:lastColumn="0" w:lastRow="0" w:noHBand="0" w:noVBand="1" w:val="04A0"/>
        <w:tblLayout w:type="fixed"/>
      </w:tblPr>
      <w:tblGrid>
        <w:gridCol w:w="10080"/>
      </w:tblGrid>
      <w:tr>
        <w:tc>
          <w:tcPr>
            <w:tcW w:type="dxa" w:w="10080"/>
            <w:shd w:fill="FFF8E5"/>
            <w:tcBorders>
              <w:top w:val="single" w:sz="8" w:space="0" w:color="B7D7C6"/>
              <w:left w:val="single" w:sz="8" w:space="0" w:color="B7D7C6"/>
              <w:bottom w:val="single" w:sz="8" w:space="0" w:color="B7D7C6"/>
              <w:right w:val="single" w:sz="8" w:space="0" w:color="B7D7C6"/>
            </w:tcBorders>
            <w:tcMar>
              <w:top w:w="160" w:type="dxa"/>
              <w:start w:w="180" w:type="dxa"/>
              <w:bottom w:w="160" w:type="dxa"/>
              <w:end w:w="180" w:type="dxa"/>
            </w:tcMar>
            <w:vAlign w:val="center"/>
          </w:tcPr>
          <w:p>
            <w:pPr>
              <w:spacing w:after="60"/>
            </w:pPr>
            <w:r>
              <w:rPr>
                <w:rFonts w:ascii="Arial" w:hAnsi="Arial" w:eastAsia="Arial"/>
                <w:color w:val="1F2937"/>
                <w:sz w:val="21"/>
              </w:rPr>
              <w:t>This certificate confirms that the named learner has completed the TradeQuote Pro Power User Course. The course covers practical use of TradeQuote Pro software, digital construction estimating workflow, quote request handling, drawing takeoff practice, milestone planning, sustainability notes, quotation preparation, invoicing and project documentation. This certificate may support CPD evidence, but it is not a formal construction qualification, accredited estimating qualification, health and safety qualification, or proof of professional competency.</w:t>
            </w:r>
          </w:p>
        </w:tc>
      </w:tr>
    </w:tbl>
    <w:p>
      <w:pPr>
        <w:spacing w:after="40"/>
      </w:pPr>
    </w:p>
    <w:sectPr w:rsidR="00FC693F" w:rsidRPr="0006063C" w:rsidSect="00034616">
      <w:headerReference w:type="default" r:id="rId9"/>
      <w:footerReference w:type="default" r:id="rId10"/>
      <w:pgSz w:w="12240" w:h="15840"/>
      <w:pgMar w:top="936" w:right="1080" w:bottom="936" w:left="108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eastAsia="Arial"/>
        <w:color w:val="4B5563"/>
        <w:sz w:val="16"/>
      </w:rPr>
      <w:t>Course Outline | Website/download based training resource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rial" w:hAnsi="Arial" w:eastAsia="Arial"/>
        <w:color w:val="4B5563"/>
        <w:sz w:val="16"/>
      </w:rPr>
      <w:t>TradeQuote Pro Power User Course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83" w:lineRule="auto"/>
    </w:pPr>
    <w:rPr>
      <w:rFonts w:ascii="Arial" w:hAnsi="Arial" w:eastAsia="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line="276" w:lineRule="auto"/>
      <w:outlineLvl w:val="0"/>
    </w:pPr>
    <w:rPr>
      <w:rFonts w:asciiTheme="majorHAnsi" w:eastAsiaTheme="majorEastAsia" w:hAnsiTheme="majorHAnsi" w:cstheme="majorBidi" w:ascii="Arial" w:hAnsi="Arial" w:eastAsia="Arial"/>
      <w:b/>
      <w:bCs/>
      <w:color w:val="0B5C3B"/>
      <w:sz w:val="34"/>
      <w:szCs w:val="28"/>
    </w:rPr>
  </w:style>
  <w:style w:type="paragraph" w:styleId="Heading2">
    <w:name w:val="heading 2"/>
    <w:basedOn w:val="Normal"/>
    <w:next w:val="Normal"/>
    <w:link w:val="Heading2Char"/>
    <w:uiPriority w:val="9"/>
    <w:unhideWhenUsed/>
    <w:qFormat/>
    <w:rsid w:val="00FC693F"/>
    <w:pPr>
      <w:keepNext/>
      <w:keepLines/>
      <w:spacing w:before="240" w:after="120" w:line="276" w:lineRule="auto"/>
      <w:outlineLvl w:val="1"/>
    </w:pPr>
    <w:rPr>
      <w:rFonts w:asciiTheme="majorHAnsi" w:eastAsiaTheme="majorEastAsia" w:hAnsiTheme="majorHAnsi" w:cstheme="majorBidi" w:ascii="Arial" w:hAnsi="Arial" w:eastAsia="Arial"/>
      <w:b/>
      <w:bCs/>
      <w:color w:val="0B5C3B"/>
      <w:sz w:val="26"/>
      <w:szCs w:val="26"/>
    </w:rPr>
  </w:style>
  <w:style w:type="paragraph" w:styleId="Heading3">
    <w:name w:val="heading 3"/>
    <w:basedOn w:val="Normal"/>
    <w:next w:val="Normal"/>
    <w:link w:val="Heading3Char"/>
    <w:uiPriority w:val="9"/>
    <w:unhideWhenUsed/>
    <w:qFormat/>
    <w:rsid w:val="00FC693F"/>
    <w:pPr>
      <w:keepNext/>
      <w:keepLines/>
      <w:spacing w:before="160" w:after="80" w:line="276" w:lineRule="auto"/>
      <w:outlineLvl w:val="2"/>
    </w:pPr>
    <w:rPr>
      <w:rFonts w:asciiTheme="majorHAnsi" w:eastAsiaTheme="majorEastAsia" w:hAnsiTheme="majorHAnsi" w:cstheme="majorBidi" w:ascii="Arial" w:hAnsi="Arial" w:eastAsia="Arial"/>
      <w:b/>
      <w:bCs/>
      <w:color w:val="1F2937"/>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240" w:line="276" w:lineRule="auto" w:before="0"/>
      <w:contextualSpacing/>
    </w:pPr>
    <w:rPr>
      <w:rFonts w:asciiTheme="majorHAnsi" w:eastAsiaTheme="majorEastAsia" w:hAnsiTheme="majorHAnsi" w:cstheme="majorBidi" w:ascii="Arial" w:hAnsi="Arial" w:eastAsia="Arial"/>
      <w:b/>
      <w:color w:val="0B5C3B"/>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280" w:line="276" w:lineRule="auto"/>
    </w:pPr>
    <w:rPr>
      <w:rFonts w:asciiTheme="majorHAnsi" w:eastAsiaTheme="majorEastAsia" w:hAnsiTheme="majorHAnsi" w:cstheme="majorBidi" w:ascii="Arial" w:hAnsi="Arial" w:eastAsia="Arial"/>
      <w:b/>
      <w:i/>
      <w:iCs/>
      <w:color w:val="4B5563"/>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00" w:line="276" w:lineRule="auto"/>
      <w:contextualSpacing/>
    </w:pPr>
    <w:rPr>
      <w:rFonts w:ascii="Arial" w:hAnsi="Arial" w:eastAsia="Arial"/>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100" w:line="276" w:lineRule="auto"/>
      <w:contextualSpacing/>
    </w:pPr>
    <w:rPr>
      <w:rFonts w:ascii="Arial" w:hAnsi="Arial" w:eastAsia="Arial"/>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